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16" w:rsidRPr="00D62246" w:rsidRDefault="00976216" w:rsidP="00976216">
      <w:pPr>
        <w:pStyle w:val="BodyText"/>
        <w:rPr>
          <w:b/>
        </w:rPr>
      </w:pPr>
      <w:r w:rsidRPr="00D62246">
        <w:rPr>
          <w:b/>
        </w:rPr>
        <w:t>Topiramate</w:t>
      </w:r>
      <w:r>
        <w:rPr>
          <w:b/>
        </w:rPr>
        <w:t xml:space="preserve"> Protocol</w:t>
      </w:r>
    </w:p>
    <w:p w:rsidR="00976216" w:rsidRDefault="00976216" w:rsidP="00976216">
      <w:pPr>
        <w:pStyle w:val="BodyText"/>
      </w:pPr>
    </w:p>
    <w:p w:rsidR="00976216" w:rsidRDefault="00976216" w:rsidP="00976216">
      <w:pPr>
        <w:pStyle w:val="BodyText"/>
      </w:pPr>
      <w:r>
        <w:t>Three large trials have shown that topiramate can reduce migraine frequency by 50% in approximately half the patients using it. This is roughly similar to Beta-Blockers. Topiramate has an early onset of action within the first 4 weeks and maintains the reduction in migraine frequency over 6 months.</w:t>
      </w:r>
    </w:p>
    <w:p w:rsidR="00976216" w:rsidRDefault="00976216" w:rsidP="00976216">
      <w:pPr>
        <w:pStyle w:val="BodyText"/>
      </w:pPr>
    </w:p>
    <w:p w:rsidR="00976216" w:rsidRPr="00230A36" w:rsidRDefault="00976216" w:rsidP="00976216">
      <w:pPr>
        <w:pStyle w:val="Heading1"/>
        <w:rPr>
          <w:rFonts w:ascii="Times New Roman" w:hAnsi="Times New Roman" w:cs="Times New Roman"/>
          <w:sz w:val="24"/>
          <w:szCs w:val="24"/>
        </w:rPr>
      </w:pPr>
      <w:r w:rsidRPr="00230A36">
        <w:rPr>
          <w:rFonts w:ascii="Times New Roman" w:hAnsi="Times New Roman" w:cs="Times New Roman"/>
          <w:sz w:val="24"/>
          <w:szCs w:val="24"/>
        </w:rPr>
        <w:t>Dosage</w:t>
      </w:r>
    </w:p>
    <w:p w:rsidR="00976216" w:rsidRPr="00230A36" w:rsidRDefault="00976216" w:rsidP="00976216">
      <w:pPr>
        <w:rPr>
          <w:b/>
          <w:sz w:val="24"/>
          <w:szCs w:val="24"/>
        </w:rPr>
      </w:pPr>
    </w:p>
    <w:p w:rsidR="00976216" w:rsidRPr="00230A36" w:rsidRDefault="00976216" w:rsidP="00976216">
      <w:pPr>
        <w:pStyle w:val="BodyText"/>
        <w:rPr>
          <w:szCs w:val="24"/>
        </w:rPr>
      </w:pPr>
      <w:r w:rsidRPr="00230A36">
        <w:rPr>
          <w:szCs w:val="24"/>
        </w:rPr>
        <w:t>The target dose is 100 mg a day in 2 divided doses. Some patients may experience benefit at a total daily dose of 50mg/day. Many side effects are dose dependant so it is best to initiate it at low dose titrating up slowly. Topiramate should be started with one 25 mg tablet at night increasing by 25 mg/day at one – two week intervals i.e.</w:t>
      </w:r>
    </w:p>
    <w:p w:rsidR="00976216" w:rsidRPr="00230A36" w:rsidRDefault="00976216" w:rsidP="0097621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976216" w:rsidRPr="00230A36" w:rsidTr="005C53E1">
        <w:tblPrEx>
          <w:tblCellMar>
            <w:top w:w="0" w:type="dxa"/>
            <w:bottom w:w="0" w:type="dxa"/>
          </w:tblCellMar>
        </w:tblPrEx>
        <w:tc>
          <w:tcPr>
            <w:tcW w:w="2840" w:type="dxa"/>
          </w:tcPr>
          <w:p w:rsidR="00976216" w:rsidRPr="00230A36" w:rsidRDefault="00976216" w:rsidP="005C53E1">
            <w:pPr>
              <w:rPr>
                <w:sz w:val="24"/>
                <w:szCs w:val="24"/>
              </w:rPr>
            </w:pPr>
          </w:p>
        </w:tc>
        <w:tc>
          <w:tcPr>
            <w:tcW w:w="2840" w:type="dxa"/>
          </w:tcPr>
          <w:p w:rsidR="00976216" w:rsidRPr="00230A36" w:rsidRDefault="00976216" w:rsidP="005C53E1">
            <w:pPr>
              <w:rPr>
                <w:sz w:val="24"/>
                <w:szCs w:val="24"/>
              </w:rPr>
            </w:pPr>
            <w:r w:rsidRPr="00230A36">
              <w:rPr>
                <w:sz w:val="24"/>
                <w:szCs w:val="24"/>
              </w:rPr>
              <w:t xml:space="preserve">AM dose </w:t>
            </w:r>
          </w:p>
        </w:tc>
        <w:tc>
          <w:tcPr>
            <w:tcW w:w="2840" w:type="dxa"/>
          </w:tcPr>
          <w:p w:rsidR="00976216" w:rsidRPr="00230A36" w:rsidRDefault="00976216" w:rsidP="005C53E1">
            <w:pPr>
              <w:rPr>
                <w:sz w:val="24"/>
                <w:szCs w:val="24"/>
              </w:rPr>
            </w:pPr>
            <w:r w:rsidRPr="00230A36">
              <w:rPr>
                <w:sz w:val="24"/>
                <w:szCs w:val="24"/>
              </w:rPr>
              <w:t>PM dose</w:t>
            </w:r>
          </w:p>
        </w:tc>
      </w:tr>
      <w:tr w:rsidR="00976216" w:rsidRPr="00230A36" w:rsidTr="005C53E1">
        <w:tblPrEx>
          <w:tblCellMar>
            <w:top w:w="0" w:type="dxa"/>
            <w:bottom w:w="0" w:type="dxa"/>
          </w:tblCellMar>
        </w:tblPrEx>
        <w:tc>
          <w:tcPr>
            <w:tcW w:w="2840" w:type="dxa"/>
          </w:tcPr>
          <w:p w:rsidR="00976216" w:rsidRPr="00230A36" w:rsidRDefault="00976216" w:rsidP="005C53E1">
            <w:pPr>
              <w:rPr>
                <w:sz w:val="24"/>
                <w:szCs w:val="24"/>
              </w:rPr>
            </w:pPr>
            <w:r w:rsidRPr="00230A36">
              <w:rPr>
                <w:sz w:val="24"/>
                <w:szCs w:val="24"/>
              </w:rPr>
              <w:t>Week 1-2</w:t>
            </w:r>
          </w:p>
        </w:tc>
        <w:tc>
          <w:tcPr>
            <w:tcW w:w="2840" w:type="dxa"/>
          </w:tcPr>
          <w:p w:rsidR="00976216" w:rsidRPr="00230A36" w:rsidRDefault="00976216" w:rsidP="005C53E1">
            <w:pPr>
              <w:rPr>
                <w:sz w:val="24"/>
                <w:szCs w:val="24"/>
              </w:rPr>
            </w:pPr>
          </w:p>
        </w:tc>
        <w:tc>
          <w:tcPr>
            <w:tcW w:w="2840" w:type="dxa"/>
          </w:tcPr>
          <w:p w:rsidR="00976216" w:rsidRPr="00230A36" w:rsidRDefault="00976216" w:rsidP="005C53E1">
            <w:pPr>
              <w:rPr>
                <w:sz w:val="24"/>
                <w:szCs w:val="24"/>
              </w:rPr>
            </w:pPr>
            <w:r w:rsidRPr="00230A36">
              <w:rPr>
                <w:sz w:val="24"/>
                <w:szCs w:val="24"/>
              </w:rPr>
              <w:t>25 mg</w:t>
            </w:r>
          </w:p>
        </w:tc>
      </w:tr>
      <w:tr w:rsidR="00976216" w:rsidRPr="00230A36" w:rsidTr="005C53E1">
        <w:tblPrEx>
          <w:tblCellMar>
            <w:top w:w="0" w:type="dxa"/>
            <w:bottom w:w="0" w:type="dxa"/>
          </w:tblCellMar>
        </w:tblPrEx>
        <w:tc>
          <w:tcPr>
            <w:tcW w:w="2840" w:type="dxa"/>
          </w:tcPr>
          <w:p w:rsidR="00976216" w:rsidRPr="00230A36" w:rsidRDefault="00976216" w:rsidP="005C53E1">
            <w:pPr>
              <w:rPr>
                <w:sz w:val="24"/>
                <w:szCs w:val="24"/>
              </w:rPr>
            </w:pPr>
            <w:r w:rsidRPr="00230A36">
              <w:rPr>
                <w:sz w:val="24"/>
                <w:szCs w:val="24"/>
              </w:rPr>
              <w:t>Week 3-4</w:t>
            </w:r>
          </w:p>
        </w:tc>
        <w:tc>
          <w:tcPr>
            <w:tcW w:w="2840" w:type="dxa"/>
          </w:tcPr>
          <w:p w:rsidR="00976216" w:rsidRPr="00230A36" w:rsidRDefault="00976216" w:rsidP="005C53E1">
            <w:pPr>
              <w:rPr>
                <w:sz w:val="24"/>
                <w:szCs w:val="24"/>
              </w:rPr>
            </w:pPr>
            <w:r w:rsidRPr="00230A36">
              <w:rPr>
                <w:sz w:val="24"/>
                <w:szCs w:val="24"/>
              </w:rPr>
              <w:t>25 mg</w:t>
            </w:r>
          </w:p>
        </w:tc>
        <w:tc>
          <w:tcPr>
            <w:tcW w:w="2840" w:type="dxa"/>
          </w:tcPr>
          <w:p w:rsidR="00976216" w:rsidRPr="00230A36" w:rsidRDefault="00976216" w:rsidP="005C53E1">
            <w:pPr>
              <w:rPr>
                <w:sz w:val="24"/>
                <w:szCs w:val="24"/>
              </w:rPr>
            </w:pPr>
            <w:r w:rsidRPr="00230A36">
              <w:rPr>
                <w:sz w:val="24"/>
                <w:szCs w:val="24"/>
              </w:rPr>
              <w:t>25 mg</w:t>
            </w:r>
          </w:p>
        </w:tc>
      </w:tr>
      <w:tr w:rsidR="00976216" w:rsidRPr="00230A36" w:rsidTr="005C53E1">
        <w:tblPrEx>
          <w:tblCellMar>
            <w:top w:w="0" w:type="dxa"/>
            <w:bottom w:w="0" w:type="dxa"/>
          </w:tblCellMar>
        </w:tblPrEx>
        <w:tc>
          <w:tcPr>
            <w:tcW w:w="2840" w:type="dxa"/>
          </w:tcPr>
          <w:p w:rsidR="00976216" w:rsidRPr="00230A36" w:rsidRDefault="00976216" w:rsidP="005C53E1">
            <w:pPr>
              <w:rPr>
                <w:sz w:val="24"/>
                <w:szCs w:val="24"/>
              </w:rPr>
            </w:pPr>
            <w:r w:rsidRPr="00230A36">
              <w:rPr>
                <w:sz w:val="24"/>
                <w:szCs w:val="24"/>
              </w:rPr>
              <w:t>Week 5-6</w:t>
            </w:r>
          </w:p>
        </w:tc>
        <w:tc>
          <w:tcPr>
            <w:tcW w:w="2840" w:type="dxa"/>
          </w:tcPr>
          <w:p w:rsidR="00976216" w:rsidRPr="00230A36" w:rsidRDefault="00976216" w:rsidP="005C53E1">
            <w:pPr>
              <w:rPr>
                <w:sz w:val="24"/>
                <w:szCs w:val="24"/>
              </w:rPr>
            </w:pPr>
            <w:r w:rsidRPr="00230A36">
              <w:rPr>
                <w:sz w:val="24"/>
                <w:szCs w:val="24"/>
              </w:rPr>
              <w:t>25 mg</w:t>
            </w:r>
          </w:p>
        </w:tc>
        <w:tc>
          <w:tcPr>
            <w:tcW w:w="2840" w:type="dxa"/>
          </w:tcPr>
          <w:p w:rsidR="00976216" w:rsidRPr="00230A36" w:rsidRDefault="00976216" w:rsidP="005C53E1">
            <w:pPr>
              <w:rPr>
                <w:sz w:val="24"/>
                <w:szCs w:val="24"/>
              </w:rPr>
            </w:pPr>
            <w:r w:rsidRPr="00230A36">
              <w:rPr>
                <w:sz w:val="24"/>
                <w:szCs w:val="24"/>
              </w:rPr>
              <w:t>50 mg</w:t>
            </w:r>
          </w:p>
        </w:tc>
      </w:tr>
      <w:tr w:rsidR="00976216" w:rsidRPr="00230A36" w:rsidTr="005C53E1">
        <w:tblPrEx>
          <w:tblCellMar>
            <w:top w:w="0" w:type="dxa"/>
            <w:bottom w:w="0" w:type="dxa"/>
          </w:tblCellMar>
        </w:tblPrEx>
        <w:tc>
          <w:tcPr>
            <w:tcW w:w="2840" w:type="dxa"/>
          </w:tcPr>
          <w:p w:rsidR="00976216" w:rsidRPr="00230A36" w:rsidRDefault="00976216" w:rsidP="005C53E1">
            <w:pPr>
              <w:rPr>
                <w:sz w:val="24"/>
                <w:szCs w:val="24"/>
              </w:rPr>
            </w:pPr>
            <w:r w:rsidRPr="00230A36">
              <w:rPr>
                <w:sz w:val="24"/>
                <w:szCs w:val="24"/>
              </w:rPr>
              <w:t>Week 7-8</w:t>
            </w:r>
          </w:p>
        </w:tc>
        <w:tc>
          <w:tcPr>
            <w:tcW w:w="2840" w:type="dxa"/>
          </w:tcPr>
          <w:p w:rsidR="00976216" w:rsidRPr="00230A36" w:rsidRDefault="00976216" w:rsidP="005C53E1">
            <w:pPr>
              <w:rPr>
                <w:sz w:val="24"/>
                <w:szCs w:val="24"/>
              </w:rPr>
            </w:pPr>
            <w:r w:rsidRPr="00230A36">
              <w:rPr>
                <w:sz w:val="24"/>
                <w:szCs w:val="24"/>
              </w:rPr>
              <w:t>50 mg</w:t>
            </w:r>
          </w:p>
        </w:tc>
        <w:tc>
          <w:tcPr>
            <w:tcW w:w="2840" w:type="dxa"/>
          </w:tcPr>
          <w:p w:rsidR="00976216" w:rsidRPr="00230A36" w:rsidRDefault="00976216" w:rsidP="005C53E1">
            <w:pPr>
              <w:rPr>
                <w:sz w:val="24"/>
                <w:szCs w:val="24"/>
              </w:rPr>
            </w:pPr>
            <w:r w:rsidRPr="00230A36">
              <w:rPr>
                <w:sz w:val="24"/>
                <w:szCs w:val="24"/>
              </w:rPr>
              <w:t>50 mg</w:t>
            </w:r>
          </w:p>
        </w:tc>
      </w:tr>
    </w:tbl>
    <w:p w:rsidR="00976216" w:rsidRPr="00230A36" w:rsidRDefault="00976216" w:rsidP="00976216">
      <w:pPr>
        <w:rPr>
          <w:sz w:val="24"/>
          <w:szCs w:val="24"/>
        </w:rPr>
      </w:pPr>
      <w:r w:rsidRPr="00230A36">
        <w:rPr>
          <w:sz w:val="24"/>
          <w:szCs w:val="24"/>
        </w:rPr>
        <w:t xml:space="preserve"> Topiramate is available as 25 and 50 mg tablets or as sprinkle capsules. It can be taken with or without food.</w:t>
      </w:r>
    </w:p>
    <w:p w:rsidR="00976216" w:rsidRPr="00230A36" w:rsidRDefault="00976216" w:rsidP="00976216">
      <w:pPr>
        <w:rPr>
          <w:sz w:val="24"/>
          <w:szCs w:val="24"/>
        </w:rPr>
      </w:pPr>
    </w:p>
    <w:p w:rsidR="00976216" w:rsidRPr="00230A36" w:rsidRDefault="00976216" w:rsidP="00976216">
      <w:pPr>
        <w:rPr>
          <w:b/>
          <w:bCs/>
          <w:sz w:val="24"/>
          <w:szCs w:val="24"/>
        </w:rPr>
      </w:pPr>
      <w:r w:rsidRPr="00230A36">
        <w:rPr>
          <w:b/>
          <w:bCs/>
          <w:sz w:val="24"/>
          <w:szCs w:val="24"/>
        </w:rPr>
        <w:t>Contra Indications</w:t>
      </w:r>
    </w:p>
    <w:p w:rsidR="00976216" w:rsidRPr="00230A36" w:rsidRDefault="00976216" w:rsidP="00976216">
      <w:pPr>
        <w:rPr>
          <w:b/>
          <w:bCs/>
          <w:sz w:val="24"/>
          <w:szCs w:val="24"/>
        </w:rPr>
      </w:pPr>
    </w:p>
    <w:p w:rsidR="00976216" w:rsidRPr="00230A36" w:rsidRDefault="00976216" w:rsidP="00976216">
      <w:pPr>
        <w:rPr>
          <w:sz w:val="24"/>
          <w:szCs w:val="24"/>
        </w:rPr>
      </w:pPr>
      <w:r w:rsidRPr="00230A36">
        <w:rPr>
          <w:sz w:val="24"/>
          <w:szCs w:val="24"/>
        </w:rPr>
        <w:t xml:space="preserve">Known hypersensitivity to topiramate or any of the tablet/capsule </w:t>
      </w:r>
      <w:proofErr w:type="spellStart"/>
      <w:r w:rsidRPr="00230A36">
        <w:rPr>
          <w:sz w:val="24"/>
          <w:szCs w:val="24"/>
        </w:rPr>
        <w:t>excipients</w:t>
      </w:r>
      <w:proofErr w:type="spellEnd"/>
    </w:p>
    <w:p w:rsidR="00976216" w:rsidRPr="00230A36" w:rsidRDefault="00976216" w:rsidP="00976216">
      <w:pPr>
        <w:rPr>
          <w:sz w:val="24"/>
          <w:szCs w:val="24"/>
        </w:rPr>
      </w:pPr>
      <w:r w:rsidRPr="00230A36">
        <w:rPr>
          <w:sz w:val="24"/>
          <w:szCs w:val="24"/>
        </w:rPr>
        <w:t xml:space="preserve">Not to be used in acute </w:t>
      </w:r>
      <w:proofErr w:type="spellStart"/>
      <w:r w:rsidRPr="00230A36">
        <w:rPr>
          <w:sz w:val="24"/>
          <w:szCs w:val="24"/>
        </w:rPr>
        <w:t>porphyrias</w:t>
      </w:r>
      <w:proofErr w:type="spellEnd"/>
      <w:r w:rsidRPr="00230A36">
        <w:rPr>
          <w:sz w:val="24"/>
          <w:szCs w:val="24"/>
        </w:rPr>
        <w:t>.</w:t>
      </w:r>
    </w:p>
    <w:p w:rsidR="00976216" w:rsidRPr="00230A36" w:rsidRDefault="00976216" w:rsidP="00976216">
      <w:pPr>
        <w:rPr>
          <w:sz w:val="24"/>
          <w:szCs w:val="24"/>
        </w:rPr>
      </w:pPr>
    </w:p>
    <w:p w:rsidR="00976216" w:rsidRPr="00230A36" w:rsidRDefault="00976216" w:rsidP="00976216">
      <w:pPr>
        <w:rPr>
          <w:sz w:val="24"/>
          <w:szCs w:val="24"/>
        </w:rPr>
      </w:pPr>
    </w:p>
    <w:p w:rsidR="00976216" w:rsidRPr="00230A36" w:rsidRDefault="00976216" w:rsidP="00976216">
      <w:pPr>
        <w:pStyle w:val="Heading2"/>
        <w:rPr>
          <w:rFonts w:ascii="Times New Roman" w:hAnsi="Times New Roman" w:cs="Times New Roman"/>
          <w:b w:val="0"/>
          <w:bCs w:val="0"/>
          <w:sz w:val="24"/>
          <w:szCs w:val="24"/>
        </w:rPr>
      </w:pPr>
      <w:r w:rsidRPr="00230A36">
        <w:rPr>
          <w:rFonts w:ascii="Times New Roman" w:hAnsi="Times New Roman" w:cs="Times New Roman"/>
          <w:b w:val="0"/>
          <w:bCs w:val="0"/>
          <w:sz w:val="24"/>
          <w:szCs w:val="24"/>
        </w:rPr>
        <w:t>Cautions</w:t>
      </w:r>
    </w:p>
    <w:p w:rsidR="00976216" w:rsidRPr="00230A36" w:rsidRDefault="00976216" w:rsidP="00976216">
      <w:pPr>
        <w:rPr>
          <w:sz w:val="24"/>
          <w:szCs w:val="24"/>
        </w:rPr>
      </w:pPr>
    </w:p>
    <w:p w:rsidR="00976216" w:rsidRPr="00230A36" w:rsidRDefault="00976216" w:rsidP="00976216">
      <w:pPr>
        <w:numPr>
          <w:ilvl w:val="0"/>
          <w:numId w:val="1"/>
        </w:numPr>
        <w:rPr>
          <w:sz w:val="24"/>
          <w:szCs w:val="24"/>
        </w:rPr>
      </w:pPr>
      <w:r w:rsidRPr="00230A36">
        <w:rPr>
          <w:sz w:val="24"/>
          <w:szCs w:val="24"/>
        </w:rPr>
        <w:t>Abrupt withdrawal of topiramate should be avoided, the dose should be reduced gradually over at least 2 weeks to minimise the possibility of rebound migraine headaches.</w:t>
      </w:r>
    </w:p>
    <w:p w:rsidR="00976216" w:rsidRPr="00230A36" w:rsidRDefault="00976216" w:rsidP="00976216">
      <w:pPr>
        <w:numPr>
          <w:ilvl w:val="0"/>
          <w:numId w:val="1"/>
        </w:numPr>
        <w:rPr>
          <w:sz w:val="24"/>
          <w:szCs w:val="24"/>
        </w:rPr>
      </w:pPr>
      <w:r w:rsidRPr="00230A36">
        <w:rPr>
          <w:sz w:val="24"/>
          <w:szCs w:val="24"/>
        </w:rPr>
        <w:t>Patients should be advised to drink plenty of water to avoid dehydration and to reduce the likelihood of developing kidney stones</w:t>
      </w:r>
    </w:p>
    <w:p w:rsidR="00976216" w:rsidRPr="00230A36" w:rsidRDefault="00976216" w:rsidP="00976216">
      <w:pPr>
        <w:numPr>
          <w:ilvl w:val="0"/>
          <w:numId w:val="1"/>
        </w:numPr>
        <w:rPr>
          <w:sz w:val="24"/>
          <w:szCs w:val="24"/>
        </w:rPr>
      </w:pPr>
      <w:r w:rsidRPr="00230A36">
        <w:rPr>
          <w:sz w:val="24"/>
          <w:szCs w:val="24"/>
        </w:rPr>
        <w:t xml:space="preserve">Topiramate is </w:t>
      </w:r>
      <w:proofErr w:type="spellStart"/>
      <w:r w:rsidRPr="00230A36">
        <w:rPr>
          <w:sz w:val="24"/>
          <w:szCs w:val="24"/>
        </w:rPr>
        <w:t>teratogenic</w:t>
      </w:r>
      <w:proofErr w:type="spellEnd"/>
      <w:r w:rsidRPr="00230A36">
        <w:rPr>
          <w:sz w:val="24"/>
          <w:szCs w:val="24"/>
        </w:rPr>
        <w:t xml:space="preserve"> and therefore should not be used during pregnancy. Women of childbearing potential should be advised to use adequate contraception whilst taking topiramate. Topiramate should not be used during breast feeding.</w:t>
      </w:r>
    </w:p>
    <w:p w:rsidR="00976216" w:rsidRPr="00230A36" w:rsidRDefault="00976216" w:rsidP="00976216">
      <w:pPr>
        <w:numPr>
          <w:ilvl w:val="0"/>
          <w:numId w:val="1"/>
        </w:numPr>
        <w:rPr>
          <w:sz w:val="24"/>
          <w:szCs w:val="24"/>
        </w:rPr>
      </w:pPr>
      <w:r w:rsidRPr="00230A36">
        <w:rPr>
          <w:sz w:val="24"/>
          <w:szCs w:val="24"/>
        </w:rPr>
        <w:t>Topiramate may need to be titrated more slowly in patients with renal impairment and should be used with caution in patients with hepatic impairment.</w:t>
      </w:r>
    </w:p>
    <w:p w:rsidR="00976216" w:rsidRPr="00230A36" w:rsidRDefault="00976216" w:rsidP="00976216">
      <w:pPr>
        <w:numPr>
          <w:ilvl w:val="0"/>
          <w:numId w:val="1"/>
        </w:numPr>
        <w:rPr>
          <w:sz w:val="24"/>
          <w:szCs w:val="24"/>
        </w:rPr>
      </w:pPr>
    </w:p>
    <w:p w:rsidR="00976216" w:rsidRPr="00230A36" w:rsidRDefault="00976216" w:rsidP="00976216">
      <w:pPr>
        <w:rPr>
          <w:sz w:val="24"/>
          <w:szCs w:val="24"/>
        </w:rPr>
      </w:pPr>
    </w:p>
    <w:p w:rsidR="00976216" w:rsidRPr="00230A36" w:rsidRDefault="00976216" w:rsidP="00976216">
      <w:pPr>
        <w:rPr>
          <w:sz w:val="24"/>
          <w:szCs w:val="24"/>
        </w:rPr>
      </w:pPr>
    </w:p>
    <w:p w:rsidR="00976216" w:rsidRPr="00230A36" w:rsidRDefault="00976216" w:rsidP="00976216">
      <w:pPr>
        <w:pStyle w:val="Heading1"/>
        <w:rPr>
          <w:rFonts w:ascii="Times New Roman" w:hAnsi="Times New Roman" w:cs="Times New Roman"/>
          <w:bCs w:val="0"/>
          <w:sz w:val="24"/>
          <w:szCs w:val="24"/>
        </w:rPr>
      </w:pPr>
      <w:r w:rsidRPr="00230A36">
        <w:rPr>
          <w:rFonts w:ascii="Times New Roman" w:hAnsi="Times New Roman" w:cs="Times New Roman"/>
          <w:bCs w:val="0"/>
          <w:sz w:val="24"/>
          <w:szCs w:val="24"/>
        </w:rPr>
        <w:t>Side Effects</w:t>
      </w:r>
    </w:p>
    <w:p w:rsidR="00976216" w:rsidRPr="00230A36" w:rsidRDefault="00976216" w:rsidP="00976216">
      <w:pPr>
        <w:rPr>
          <w:sz w:val="24"/>
          <w:szCs w:val="24"/>
        </w:rPr>
      </w:pPr>
    </w:p>
    <w:p w:rsidR="00976216" w:rsidRPr="00230A36" w:rsidRDefault="00976216" w:rsidP="00976216">
      <w:pPr>
        <w:numPr>
          <w:ilvl w:val="0"/>
          <w:numId w:val="2"/>
        </w:numPr>
        <w:rPr>
          <w:sz w:val="24"/>
          <w:szCs w:val="24"/>
        </w:rPr>
      </w:pPr>
      <w:r w:rsidRPr="00230A36">
        <w:rPr>
          <w:sz w:val="24"/>
          <w:szCs w:val="24"/>
        </w:rPr>
        <w:t>Common &gt; 10%</w:t>
      </w:r>
    </w:p>
    <w:p w:rsidR="00976216" w:rsidRPr="00230A36" w:rsidRDefault="00976216" w:rsidP="00976216">
      <w:pPr>
        <w:numPr>
          <w:ilvl w:val="1"/>
          <w:numId w:val="2"/>
        </w:numPr>
        <w:rPr>
          <w:sz w:val="24"/>
          <w:szCs w:val="24"/>
        </w:rPr>
      </w:pPr>
      <w:r w:rsidRPr="00230A36">
        <w:rPr>
          <w:sz w:val="24"/>
          <w:szCs w:val="24"/>
        </w:rPr>
        <w:lastRenderedPageBreak/>
        <w:t>Paraesthesia in about 50%</w:t>
      </w:r>
    </w:p>
    <w:p w:rsidR="00976216" w:rsidRPr="00230A36" w:rsidRDefault="00976216" w:rsidP="00976216">
      <w:pPr>
        <w:numPr>
          <w:ilvl w:val="1"/>
          <w:numId w:val="2"/>
        </w:numPr>
        <w:rPr>
          <w:sz w:val="24"/>
          <w:szCs w:val="24"/>
        </w:rPr>
      </w:pPr>
      <w:r w:rsidRPr="00230A36">
        <w:rPr>
          <w:sz w:val="24"/>
          <w:szCs w:val="24"/>
        </w:rPr>
        <w:t>Anorexia, nausea</w:t>
      </w:r>
    </w:p>
    <w:p w:rsidR="00976216" w:rsidRPr="00230A36" w:rsidRDefault="00976216" w:rsidP="00976216">
      <w:pPr>
        <w:numPr>
          <w:ilvl w:val="1"/>
          <w:numId w:val="2"/>
        </w:numPr>
        <w:rPr>
          <w:sz w:val="24"/>
          <w:szCs w:val="24"/>
        </w:rPr>
      </w:pPr>
      <w:r w:rsidRPr="00230A36">
        <w:rPr>
          <w:sz w:val="24"/>
          <w:szCs w:val="24"/>
        </w:rPr>
        <w:t>Weight loss</w:t>
      </w:r>
    </w:p>
    <w:p w:rsidR="00976216" w:rsidRPr="00230A36" w:rsidRDefault="00976216" w:rsidP="00976216">
      <w:pPr>
        <w:numPr>
          <w:ilvl w:val="1"/>
          <w:numId w:val="2"/>
        </w:numPr>
        <w:rPr>
          <w:sz w:val="24"/>
          <w:szCs w:val="24"/>
        </w:rPr>
      </w:pPr>
      <w:r w:rsidRPr="00230A36">
        <w:rPr>
          <w:sz w:val="24"/>
          <w:szCs w:val="24"/>
        </w:rPr>
        <w:t xml:space="preserve">Fatigue </w:t>
      </w:r>
    </w:p>
    <w:p w:rsidR="00976216" w:rsidRPr="00230A36" w:rsidRDefault="00976216" w:rsidP="00976216">
      <w:pPr>
        <w:numPr>
          <w:ilvl w:val="1"/>
          <w:numId w:val="2"/>
        </w:numPr>
        <w:rPr>
          <w:sz w:val="24"/>
          <w:szCs w:val="24"/>
        </w:rPr>
      </w:pPr>
      <w:r w:rsidRPr="00230A36">
        <w:rPr>
          <w:sz w:val="24"/>
          <w:szCs w:val="24"/>
        </w:rPr>
        <w:t>URTI</w:t>
      </w:r>
    </w:p>
    <w:p w:rsidR="00976216" w:rsidRPr="00230A36" w:rsidRDefault="00976216" w:rsidP="00976216">
      <w:pPr>
        <w:numPr>
          <w:ilvl w:val="1"/>
          <w:numId w:val="2"/>
        </w:numPr>
        <w:rPr>
          <w:sz w:val="24"/>
          <w:szCs w:val="24"/>
        </w:rPr>
      </w:pPr>
      <w:r w:rsidRPr="00230A36">
        <w:rPr>
          <w:sz w:val="24"/>
          <w:szCs w:val="24"/>
        </w:rPr>
        <w:t>Diarrhoea</w:t>
      </w:r>
    </w:p>
    <w:p w:rsidR="00976216" w:rsidRPr="00230A36" w:rsidRDefault="00976216" w:rsidP="00976216">
      <w:pPr>
        <w:rPr>
          <w:sz w:val="24"/>
          <w:szCs w:val="24"/>
        </w:rPr>
      </w:pPr>
    </w:p>
    <w:p w:rsidR="00976216" w:rsidRPr="00230A36" w:rsidRDefault="00976216" w:rsidP="00976216">
      <w:pPr>
        <w:numPr>
          <w:ilvl w:val="0"/>
          <w:numId w:val="2"/>
        </w:numPr>
        <w:rPr>
          <w:sz w:val="24"/>
          <w:szCs w:val="24"/>
        </w:rPr>
      </w:pPr>
      <w:r w:rsidRPr="00230A36">
        <w:rPr>
          <w:sz w:val="24"/>
          <w:szCs w:val="24"/>
        </w:rPr>
        <w:t>Less common &lt; 10%</w:t>
      </w:r>
    </w:p>
    <w:p w:rsidR="00976216" w:rsidRPr="00230A36" w:rsidRDefault="00976216" w:rsidP="00976216">
      <w:pPr>
        <w:numPr>
          <w:ilvl w:val="1"/>
          <w:numId w:val="2"/>
        </w:numPr>
        <w:rPr>
          <w:sz w:val="24"/>
          <w:szCs w:val="24"/>
        </w:rPr>
      </w:pPr>
      <w:r w:rsidRPr="00230A36">
        <w:rPr>
          <w:sz w:val="24"/>
          <w:szCs w:val="24"/>
        </w:rPr>
        <w:t>Cognitive effects such as memory, language and somnolence</w:t>
      </w:r>
    </w:p>
    <w:p w:rsidR="00976216" w:rsidRPr="00230A36" w:rsidRDefault="00976216" w:rsidP="00976216">
      <w:pPr>
        <w:numPr>
          <w:ilvl w:val="1"/>
          <w:numId w:val="2"/>
        </w:numPr>
        <w:rPr>
          <w:sz w:val="24"/>
          <w:szCs w:val="24"/>
        </w:rPr>
      </w:pPr>
      <w:r w:rsidRPr="00230A36">
        <w:rPr>
          <w:sz w:val="24"/>
          <w:szCs w:val="24"/>
        </w:rPr>
        <w:t>Depression and mood alteration</w:t>
      </w:r>
    </w:p>
    <w:p w:rsidR="00976216" w:rsidRPr="00230A36" w:rsidRDefault="00976216" w:rsidP="00976216">
      <w:pPr>
        <w:ind w:left="1080"/>
        <w:rPr>
          <w:sz w:val="24"/>
          <w:szCs w:val="24"/>
        </w:rPr>
      </w:pPr>
    </w:p>
    <w:p w:rsidR="00976216" w:rsidRPr="00230A36" w:rsidRDefault="00976216" w:rsidP="00976216">
      <w:pPr>
        <w:numPr>
          <w:ilvl w:val="0"/>
          <w:numId w:val="2"/>
        </w:numPr>
        <w:rPr>
          <w:sz w:val="24"/>
          <w:szCs w:val="24"/>
        </w:rPr>
      </w:pPr>
      <w:r w:rsidRPr="00230A36">
        <w:rPr>
          <w:sz w:val="24"/>
          <w:szCs w:val="24"/>
        </w:rPr>
        <w:t>Rare  &lt; 1 %</w:t>
      </w:r>
    </w:p>
    <w:p w:rsidR="00976216" w:rsidRPr="00230A36" w:rsidRDefault="00976216" w:rsidP="00976216">
      <w:pPr>
        <w:numPr>
          <w:ilvl w:val="1"/>
          <w:numId w:val="2"/>
        </w:numPr>
        <w:rPr>
          <w:sz w:val="24"/>
          <w:szCs w:val="24"/>
        </w:rPr>
      </w:pPr>
      <w:r w:rsidRPr="00230A36">
        <w:rPr>
          <w:sz w:val="24"/>
          <w:szCs w:val="24"/>
        </w:rPr>
        <w:t>Acute myopia secondary to angle closure glaucoma</w:t>
      </w:r>
    </w:p>
    <w:p w:rsidR="00976216" w:rsidRPr="00230A36" w:rsidRDefault="00976216" w:rsidP="00976216">
      <w:pPr>
        <w:numPr>
          <w:ilvl w:val="1"/>
          <w:numId w:val="2"/>
        </w:numPr>
        <w:rPr>
          <w:sz w:val="24"/>
          <w:szCs w:val="24"/>
        </w:rPr>
      </w:pPr>
      <w:proofErr w:type="spellStart"/>
      <w:r w:rsidRPr="00230A36">
        <w:rPr>
          <w:sz w:val="24"/>
          <w:szCs w:val="24"/>
        </w:rPr>
        <w:t>Choroidal</w:t>
      </w:r>
      <w:proofErr w:type="spellEnd"/>
      <w:r w:rsidRPr="00230A36">
        <w:rPr>
          <w:sz w:val="24"/>
          <w:szCs w:val="24"/>
        </w:rPr>
        <w:t xml:space="preserve"> effusions resulting in anterior displacement of the lens and iris</w:t>
      </w:r>
    </w:p>
    <w:p w:rsidR="00976216" w:rsidRPr="00230A36" w:rsidRDefault="00976216" w:rsidP="00976216">
      <w:pPr>
        <w:rPr>
          <w:b/>
          <w:bCs/>
          <w:sz w:val="24"/>
          <w:szCs w:val="24"/>
        </w:rPr>
      </w:pPr>
      <w:r w:rsidRPr="00230A36">
        <w:rPr>
          <w:b/>
          <w:bCs/>
          <w:sz w:val="24"/>
          <w:szCs w:val="24"/>
        </w:rPr>
        <w:t>Monitoring</w:t>
      </w:r>
    </w:p>
    <w:p w:rsidR="00976216" w:rsidRPr="00230A36" w:rsidRDefault="00976216" w:rsidP="00976216">
      <w:pPr>
        <w:rPr>
          <w:b/>
          <w:bCs/>
          <w:sz w:val="24"/>
          <w:szCs w:val="24"/>
        </w:rPr>
      </w:pPr>
    </w:p>
    <w:p w:rsidR="00976216" w:rsidRPr="00230A36" w:rsidRDefault="00976216" w:rsidP="00976216">
      <w:pPr>
        <w:numPr>
          <w:ilvl w:val="0"/>
          <w:numId w:val="3"/>
        </w:numPr>
        <w:rPr>
          <w:b/>
          <w:bCs/>
          <w:sz w:val="24"/>
          <w:szCs w:val="24"/>
        </w:rPr>
      </w:pPr>
      <w:r w:rsidRPr="00230A36">
        <w:rPr>
          <w:b/>
          <w:bCs/>
          <w:sz w:val="24"/>
          <w:szCs w:val="24"/>
        </w:rPr>
        <w:t>Response to therapy</w:t>
      </w:r>
    </w:p>
    <w:p w:rsidR="00976216" w:rsidRPr="00230A36" w:rsidRDefault="00976216" w:rsidP="00976216">
      <w:pPr>
        <w:numPr>
          <w:ilvl w:val="1"/>
          <w:numId w:val="3"/>
        </w:numPr>
        <w:rPr>
          <w:sz w:val="24"/>
          <w:szCs w:val="24"/>
        </w:rPr>
      </w:pPr>
      <w:r w:rsidRPr="00230A36">
        <w:rPr>
          <w:sz w:val="24"/>
          <w:szCs w:val="24"/>
        </w:rPr>
        <w:t>Topiramate should be administered for a minimum of 12 weeks</w:t>
      </w:r>
    </w:p>
    <w:p w:rsidR="00976216" w:rsidRPr="00230A36" w:rsidRDefault="00976216" w:rsidP="00976216">
      <w:pPr>
        <w:numPr>
          <w:ilvl w:val="1"/>
          <w:numId w:val="3"/>
        </w:numPr>
        <w:rPr>
          <w:sz w:val="24"/>
          <w:szCs w:val="24"/>
        </w:rPr>
      </w:pPr>
      <w:r w:rsidRPr="00230A36">
        <w:rPr>
          <w:sz w:val="24"/>
          <w:szCs w:val="24"/>
        </w:rPr>
        <w:t>If effective continue for 6 months and then withdraw to establish continued need. (migraine prophylaxis should rarely be used uninterrupted for more than 12 months)</w:t>
      </w:r>
    </w:p>
    <w:p w:rsidR="00976216" w:rsidRPr="00230A36" w:rsidRDefault="00976216" w:rsidP="00976216">
      <w:pPr>
        <w:numPr>
          <w:ilvl w:val="1"/>
          <w:numId w:val="3"/>
        </w:numPr>
        <w:rPr>
          <w:sz w:val="24"/>
          <w:szCs w:val="24"/>
        </w:rPr>
      </w:pPr>
      <w:r w:rsidRPr="00230A36">
        <w:rPr>
          <w:sz w:val="24"/>
          <w:szCs w:val="24"/>
        </w:rPr>
        <w:t>If not effective at adequate dosage or intolerable side-effects, treatment should be withdrawn and alternative therapy considered. Cognitive effects rarely settle so treatment should be withdrawn early if there are significant problems.</w:t>
      </w:r>
    </w:p>
    <w:p w:rsidR="00976216" w:rsidRPr="00230A36" w:rsidRDefault="00976216" w:rsidP="00976216">
      <w:pPr>
        <w:pStyle w:val="Heading3"/>
        <w:rPr>
          <w:rFonts w:ascii="Times New Roman" w:hAnsi="Times New Roman" w:cs="Times New Roman"/>
          <w:sz w:val="24"/>
          <w:szCs w:val="24"/>
        </w:rPr>
      </w:pPr>
    </w:p>
    <w:p w:rsidR="00976216" w:rsidRPr="00230A36" w:rsidRDefault="00976216" w:rsidP="00976216">
      <w:pPr>
        <w:numPr>
          <w:ilvl w:val="0"/>
          <w:numId w:val="3"/>
        </w:numPr>
        <w:rPr>
          <w:b/>
          <w:bCs/>
          <w:sz w:val="24"/>
          <w:szCs w:val="24"/>
        </w:rPr>
      </w:pPr>
      <w:r w:rsidRPr="00230A36">
        <w:rPr>
          <w:b/>
          <w:bCs/>
          <w:sz w:val="24"/>
          <w:szCs w:val="24"/>
        </w:rPr>
        <w:t>Treatment Safety</w:t>
      </w:r>
    </w:p>
    <w:p w:rsidR="00976216" w:rsidRPr="00230A36" w:rsidRDefault="00976216" w:rsidP="00976216">
      <w:pPr>
        <w:numPr>
          <w:ilvl w:val="1"/>
          <w:numId w:val="3"/>
        </w:numPr>
        <w:rPr>
          <w:sz w:val="24"/>
          <w:szCs w:val="24"/>
        </w:rPr>
      </w:pPr>
      <w:r w:rsidRPr="00230A36">
        <w:rPr>
          <w:sz w:val="24"/>
          <w:szCs w:val="24"/>
        </w:rPr>
        <w:t>Patients with new onset visual symptoms or signs should have their intra ocular pressure measured urgently. If it is raised they should be referred to the ophthalmology clinic immediately and the topiramate stopped as rapidly as feasible</w:t>
      </w:r>
    </w:p>
    <w:p w:rsidR="00976216" w:rsidRPr="00230A36" w:rsidRDefault="00976216" w:rsidP="00976216">
      <w:pPr>
        <w:numPr>
          <w:ilvl w:val="1"/>
          <w:numId w:val="3"/>
        </w:numPr>
        <w:rPr>
          <w:sz w:val="24"/>
          <w:szCs w:val="24"/>
        </w:rPr>
      </w:pPr>
      <w:r w:rsidRPr="00230A36">
        <w:rPr>
          <w:sz w:val="24"/>
          <w:szCs w:val="24"/>
        </w:rPr>
        <w:t>Patients on long term topiramate should be weighed every 8 weeks and discontinuation of treatment should be considered if weight loss is greater than 10%.</w:t>
      </w:r>
    </w:p>
    <w:p w:rsidR="00976216" w:rsidRPr="00230A36" w:rsidRDefault="00976216" w:rsidP="00976216">
      <w:pPr>
        <w:numPr>
          <w:ilvl w:val="1"/>
          <w:numId w:val="3"/>
        </w:numPr>
        <w:rPr>
          <w:sz w:val="24"/>
          <w:szCs w:val="24"/>
        </w:rPr>
      </w:pPr>
      <w:r w:rsidRPr="00230A36">
        <w:rPr>
          <w:sz w:val="24"/>
          <w:szCs w:val="24"/>
        </w:rPr>
        <w:t>Patients should be monitored for signs of depression and advised to seek medical help immediately if they have suicidal thoughts.</w:t>
      </w:r>
    </w:p>
    <w:p w:rsidR="00976216" w:rsidRPr="00230A36" w:rsidRDefault="00976216" w:rsidP="00976216">
      <w:pPr>
        <w:rPr>
          <w:sz w:val="24"/>
          <w:szCs w:val="24"/>
        </w:rPr>
      </w:pPr>
    </w:p>
    <w:p w:rsidR="00976216" w:rsidRPr="00230A36" w:rsidRDefault="00976216" w:rsidP="00976216">
      <w:pPr>
        <w:rPr>
          <w:sz w:val="24"/>
          <w:szCs w:val="24"/>
        </w:rPr>
      </w:pPr>
    </w:p>
    <w:p w:rsidR="00976216" w:rsidRPr="00230A36" w:rsidRDefault="00976216" w:rsidP="00976216">
      <w:pPr>
        <w:rPr>
          <w:sz w:val="24"/>
          <w:szCs w:val="24"/>
        </w:rPr>
      </w:pPr>
    </w:p>
    <w:p w:rsidR="00976216" w:rsidRPr="00230A36" w:rsidRDefault="00976216" w:rsidP="00976216">
      <w:pPr>
        <w:pStyle w:val="BodyText"/>
        <w:rPr>
          <w:szCs w:val="24"/>
        </w:rPr>
      </w:pPr>
    </w:p>
    <w:p w:rsidR="00976216" w:rsidRPr="00230A36" w:rsidRDefault="00976216" w:rsidP="00976216">
      <w:pPr>
        <w:pStyle w:val="NormalWeb"/>
        <w:rPr>
          <w:color w:val="000000"/>
          <w:lang/>
        </w:rPr>
      </w:pPr>
    </w:p>
    <w:p w:rsidR="00976216" w:rsidRPr="00230A36" w:rsidRDefault="00976216" w:rsidP="00976216">
      <w:pPr>
        <w:widowControl w:val="0"/>
        <w:tabs>
          <w:tab w:val="num" w:pos="1620"/>
        </w:tabs>
        <w:rPr>
          <w:sz w:val="24"/>
          <w:szCs w:val="24"/>
          <w:lang/>
        </w:rPr>
      </w:pPr>
    </w:p>
    <w:p w:rsidR="00976216" w:rsidRPr="00230A36" w:rsidRDefault="00976216" w:rsidP="00976216">
      <w:pPr>
        <w:rPr>
          <w:sz w:val="24"/>
          <w:szCs w:val="24"/>
        </w:rPr>
      </w:pPr>
    </w:p>
    <w:p w:rsidR="000009BE" w:rsidRDefault="000009BE"/>
    <w:sectPr w:rsidR="000009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7FE"/>
    <w:multiLevelType w:val="hybridMultilevel"/>
    <w:tmpl w:val="3646A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1F3401"/>
    <w:multiLevelType w:val="hybridMultilevel"/>
    <w:tmpl w:val="71F8D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AC3112"/>
    <w:multiLevelType w:val="hybridMultilevel"/>
    <w:tmpl w:val="6432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6216"/>
    <w:rsid w:val="000009BE"/>
    <w:rsid w:val="009762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16"/>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976216"/>
    <w:pPr>
      <w:keepNext/>
      <w:widowControl w:val="0"/>
      <w:ind w:left="540" w:hanging="540"/>
      <w:outlineLvl w:val="0"/>
    </w:pPr>
    <w:rPr>
      <w:rFonts w:ascii="Arial" w:hAnsi="Arial" w:cs="Arial"/>
      <w:b/>
      <w:bCs/>
      <w:sz w:val="22"/>
      <w:szCs w:val="22"/>
    </w:rPr>
  </w:style>
  <w:style w:type="paragraph" w:styleId="Heading2">
    <w:name w:val="heading 2"/>
    <w:basedOn w:val="Normal"/>
    <w:next w:val="Normal"/>
    <w:link w:val="Heading2Char"/>
    <w:qFormat/>
    <w:rsid w:val="00976216"/>
    <w:pPr>
      <w:keepNext/>
      <w:spacing w:before="240" w:after="60"/>
      <w:outlineLvl w:val="1"/>
    </w:pPr>
    <w:rPr>
      <w:rFonts w:ascii="Arial" w:hAnsi="Arial" w:cs="Arial"/>
      <w:b/>
      <w:bCs/>
      <w:i/>
      <w:iCs/>
      <w:color w:val="auto"/>
      <w:kern w:val="0"/>
      <w:sz w:val="28"/>
      <w:szCs w:val="28"/>
      <w:lang w:val="en-US" w:eastAsia="en-US"/>
    </w:rPr>
  </w:style>
  <w:style w:type="paragraph" w:styleId="Heading3">
    <w:name w:val="heading 3"/>
    <w:basedOn w:val="Normal"/>
    <w:next w:val="Normal"/>
    <w:link w:val="Heading3Char"/>
    <w:qFormat/>
    <w:rsid w:val="00976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216"/>
    <w:rPr>
      <w:rFonts w:ascii="Arial" w:eastAsia="Times New Roman" w:hAnsi="Arial" w:cs="Arial"/>
      <w:b/>
      <w:bCs/>
      <w:color w:val="000000"/>
      <w:kern w:val="28"/>
      <w:lang w:eastAsia="en-GB"/>
    </w:rPr>
  </w:style>
  <w:style w:type="character" w:customStyle="1" w:styleId="Heading2Char">
    <w:name w:val="Heading 2 Char"/>
    <w:basedOn w:val="DefaultParagraphFont"/>
    <w:link w:val="Heading2"/>
    <w:rsid w:val="0097621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76216"/>
    <w:rPr>
      <w:rFonts w:ascii="Arial" w:eastAsia="Times New Roman" w:hAnsi="Arial" w:cs="Arial"/>
      <w:b/>
      <w:bCs/>
      <w:color w:val="000000"/>
      <w:kern w:val="28"/>
      <w:sz w:val="26"/>
      <w:szCs w:val="26"/>
      <w:lang w:eastAsia="en-GB"/>
    </w:rPr>
  </w:style>
  <w:style w:type="paragraph" w:styleId="NormalWeb">
    <w:name w:val="Normal (Web)"/>
    <w:basedOn w:val="Normal"/>
    <w:rsid w:val="00976216"/>
    <w:pPr>
      <w:spacing w:before="100" w:beforeAutospacing="1" w:after="100" w:afterAutospacing="1"/>
    </w:pPr>
    <w:rPr>
      <w:color w:val="auto"/>
      <w:kern w:val="0"/>
      <w:sz w:val="24"/>
      <w:szCs w:val="24"/>
      <w:lang w:val="en-US" w:eastAsia="en-US"/>
    </w:rPr>
  </w:style>
  <w:style w:type="paragraph" w:styleId="BodyText">
    <w:name w:val="Body Text"/>
    <w:basedOn w:val="Normal"/>
    <w:link w:val="BodyTextChar"/>
    <w:rsid w:val="00976216"/>
    <w:rPr>
      <w:color w:val="auto"/>
      <w:kern w:val="0"/>
      <w:sz w:val="24"/>
      <w:lang w:eastAsia="en-US"/>
    </w:rPr>
  </w:style>
  <w:style w:type="character" w:customStyle="1" w:styleId="BodyTextChar">
    <w:name w:val="Body Text Char"/>
    <w:basedOn w:val="DefaultParagraphFont"/>
    <w:link w:val="BodyText"/>
    <w:rsid w:val="0097621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2013-03-24T11:14:00Z</dcterms:created>
  <dcterms:modified xsi:type="dcterms:W3CDTF">2013-03-24T11:15:00Z</dcterms:modified>
</cp:coreProperties>
</file>